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4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16826"/>
      </w:tblGrid>
      <w:tr w:rsidR="002B30FD" w:rsidRPr="002865BF" w:rsidTr="00865176">
        <w:trPr>
          <w:trHeight w:val="2145"/>
        </w:trPr>
        <w:tc>
          <w:tcPr>
            <w:tcW w:w="2214" w:type="dxa"/>
          </w:tcPr>
          <w:p w:rsidR="002B30FD" w:rsidRPr="002865BF" w:rsidRDefault="002B30FD" w:rsidP="008651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71A36EDF" wp14:editId="25E151EE">
                  <wp:extent cx="1318260" cy="1276985"/>
                  <wp:effectExtent l="0" t="0" r="0" b="0"/>
                  <wp:docPr id="2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8" w:type="dxa"/>
          </w:tcPr>
          <w:p w:rsidR="002B30FD" w:rsidRPr="00F85A4F" w:rsidRDefault="002B30FD" w:rsidP="00865176">
            <w:pPr>
              <w:ind w:right="2739" w:firstLine="168"/>
              <w:jc w:val="both"/>
              <w:rPr>
                <w:sz w:val="32"/>
                <w:szCs w:val="32"/>
                <w:lang w:val="fr-FR"/>
              </w:rPr>
            </w:pPr>
            <w:r w:rsidRPr="00F85A4F">
              <w:rPr>
                <w:sz w:val="32"/>
                <w:szCs w:val="32"/>
                <w:lang w:val="fr-FR"/>
              </w:rPr>
              <w:t>CONSEIL PARLEMENTAIRE INTERREGIONAL</w:t>
            </w:r>
          </w:p>
          <w:p w:rsidR="002B30FD" w:rsidRPr="00F85A4F" w:rsidRDefault="002B30FD" w:rsidP="00865176">
            <w:pPr>
              <w:ind w:right="9370" w:firstLine="168"/>
              <w:jc w:val="both"/>
              <w:rPr>
                <w:sz w:val="32"/>
                <w:szCs w:val="32"/>
                <w:lang w:val="fr-FR"/>
              </w:rPr>
            </w:pPr>
            <w:r w:rsidRPr="00F85A4F">
              <w:rPr>
                <w:sz w:val="32"/>
                <w:szCs w:val="32"/>
                <w:lang w:val="fr-FR"/>
              </w:rPr>
              <w:t>INTERREGIONALER PARLAMENTARIER-RAT</w:t>
            </w:r>
          </w:p>
          <w:p w:rsidR="002B30FD" w:rsidRPr="00F85A4F" w:rsidRDefault="002B30FD" w:rsidP="00865176">
            <w:pPr>
              <w:tabs>
                <w:tab w:val="left" w:pos="7538"/>
              </w:tabs>
              <w:ind w:left="110" w:right="9806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85A4F">
              <w:rPr>
                <w:rFonts w:ascii="Arial" w:hAnsi="Arial" w:cs="Arial"/>
                <w:b/>
                <w:lang w:val="fr-FR"/>
              </w:rPr>
              <w:t>Saarland</w:t>
            </w:r>
            <w:proofErr w:type="spellEnd"/>
            <w:r w:rsidRPr="00F85A4F">
              <w:rPr>
                <w:rFonts w:ascii="Arial" w:hAnsi="Arial" w:cs="Arial"/>
                <w:b/>
                <w:lang w:val="fr-FR"/>
              </w:rPr>
              <w:t xml:space="preserve">  -  Lorraine  -  Luxembourg  -  </w:t>
            </w:r>
            <w:proofErr w:type="spellStart"/>
            <w:r w:rsidRPr="00F85A4F">
              <w:rPr>
                <w:rFonts w:ascii="Arial" w:hAnsi="Arial" w:cs="Arial"/>
                <w:b/>
                <w:lang w:val="fr-FR"/>
              </w:rPr>
              <w:t>Rheinland-Pfalz</w:t>
            </w:r>
            <w:proofErr w:type="spellEnd"/>
            <w:r w:rsidRPr="00F85A4F">
              <w:rPr>
                <w:rFonts w:ascii="Arial" w:hAnsi="Arial" w:cs="Arial"/>
                <w:b/>
                <w:lang w:val="fr-FR"/>
              </w:rPr>
              <w:t xml:space="preserve">  -</w:t>
            </w:r>
          </w:p>
          <w:p w:rsidR="002B30FD" w:rsidRPr="009E4702" w:rsidRDefault="002B30FD" w:rsidP="00865176">
            <w:pPr>
              <w:tabs>
                <w:tab w:val="left" w:pos="7538"/>
                <w:tab w:val="left" w:pos="7908"/>
              </w:tabs>
              <w:ind w:left="470" w:right="95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</w:t>
            </w:r>
            <w:r w:rsidRPr="009E4702">
              <w:rPr>
                <w:rFonts w:ascii="Arial" w:hAnsi="Arial" w:cs="Arial"/>
                <w:b/>
                <w:lang w:val="fr-FR"/>
              </w:rPr>
              <w:t>Wallon</w:t>
            </w:r>
            <w:r>
              <w:rPr>
                <w:rFonts w:ascii="Arial" w:hAnsi="Arial" w:cs="Arial"/>
                <w:b/>
                <w:lang w:val="fr-FR"/>
              </w:rPr>
              <w:t>i</w:t>
            </w:r>
            <w:r w:rsidRPr="009E4702">
              <w:rPr>
                <w:rFonts w:ascii="Arial" w:hAnsi="Arial" w:cs="Arial"/>
                <w:b/>
                <w:lang w:val="fr-FR"/>
              </w:rPr>
              <w:t xml:space="preserve">e 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9E4702">
              <w:rPr>
                <w:rFonts w:ascii="Arial" w:hAnsi="Arial" w:cs="Arial"/>
                <w:b/>
                <w:lang w:val="fr-FR"/>
              </w:rPr>
              <w:t>-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9E4702">
              <w:rPr>
                <w:rFonts w:ascii="Arial" w:hAnsi="Arial" w:cs="Arial"/>
                <w:b/>
                <w:lang w:val="fr-FR"/>
              </w:rPr>
              <w:t xml:space="preserve"> Communauté Française de </w:t>
            </w:r>
            <w:r>
              <w:rPr>
                <w:rFonts w:ascii="Arial" w:hAnsi="Arial" w:cs="Arial"/>
                <w:b/>
                <w:lang w:val="fr-FR"/>
              </w:rPr>
              <w:t xml:space="preserve">Belgique </w:t>
            </w:r>
            <w:r w:rsidRPr="009E4702">
              <w:rPr>
                <w:rFonts w:ascii="Arial" w:hAnsi="Arial" w:cs="Arial"/>
                <w:b/>
                <w:lang w:val="fr-FR"/>
              </w:rPr>
              <w:t xml:space="preserve"> -</w:t>
            </w:r>
          </w:p>
          <w:p w:rsidR="002B30FD" w:rsidRPr="009E4702" w:rsidRDefault="002B30FD" w:rsidP="00865176">
            <w:pPr>
              <w:tabs>
                <w:tab w:val="left" w:pos="7538"/>
                <w:tab w:val="left" w:pos="7908"/>
              </w:tabs>
              <w:ind w:left="470" w:right="98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F85A4F">
              <w:rPr>
                <w:rFonts w:ascii="Arial" w:hAnsi="Arial" w:cs="Arial"/>
                <w:b/>
              </w:rPr>
              <w:t>D</w:t>
            </w:r>
            <w:r w:rsidRPr="009E4702">
              <w:rPr>
                <w:rFonts w:ascii="Arial" w:hAnsi="Arial" w:cs="Arial"/>
                <w:b/>
              </w:rPr>
              <w:t>eutschsprachige Gemeinschaft Belgiens</w:t>
            </w:r>
          </w:p>
          <w:p w:rsidR="002B30FD" w:rsidRPr="00501D0A" w:rsidRDefault="002B30FD" w:rsidP="00865176">
            <w:pPr>
              <w:ind w:left="110" w:right="8266" w:hanging="71"/>
              <w:jc w:val="both"/>
              <w:rPr>
                <w:sz w:val="16"/>
                <w:szCs w:val="16"/>
                <w:lang w:val="fr-FR"/>
              </w:rPr>
            </w:pPr>
            <w:r w:rsidRPr="00501D0A">
              <w:rPr>
                <w:sz w:val="16"/>
                <w:szCs w:val="16"/>
                <w:lang w:val="fr-FR"/>
              </w:rPr>
              <w:t xml:space="preserve">    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501D0A">
              <w:rPr>
                <w:sz w:val="16"/>
                <w:szCs w:val="16"/>
                <w:lang w:val="fr-FR"/>
              </w:rPr>
              <w:t xml:space="preserve">23, rue du Marché-aux-Herbes, L-1728 Luxembourg Tél : (352) 466966-1 Fax : (352) 466966-209 </w:t>
            </w:r>
          </w:p>
          <w:p w:rsidR="002B30FD" w:rsidRPr="002865BF" w:rsidRDefault="002B30FD" w:rsidP="00865176">
            <w:pPr>
              <w:ind w:right="8888"/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</w:t>
            </w:r>
            <w:r w:rsidRPr="00CD298C">
              <w:rPr>
                <w:sz w:val="20"/>
              </w:rPr>
              <w:t>_____________________________________________________________________</w:t>
            </w:r>
          </w:p>
        </w:tc>
      </w:tr>
    </w:tbl>
    <w:p w:rsidR="002B30FD" w:rsidRPr="004114B3" w:rsidRDefault="002B30FD" w:rsidP="002B30FD">
      <w:pPr>
        <w:rPr>
          <w:rFonts w:ascii="Arial" w:hAnsi="Arial" w:cs="Arial"/>
          <w:sz w:val="22"/>
          <w:szCs w:val="22"/>
        </w:rPr>
      </w:pPr>
    </w:p>
    <w:p w:rsidR="002B30FD" w:rsidRPr="004114B3" w:rsidRDefault="002B30FD" w:rsidP="002B30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Empfehlung</w:t>
      </w:r>
    </w:p>
    <w:p w:rsidR="002B30FD" w:rsidRPr="005E1C8A" w:rsidRDefault="002B30FD" w:rsidP="002B30FD">
      <w:pPr>
        <w:spacing w:line="360" w:lineRule="auto"/>
        <w:jc w:val="center"/>
        <w:rPr>
          <w:rFonts w:ascii="Arial" w:hAnsi="Arial" w:cs="Arial"/>
          <w:b/>
        </w:rPr>
      </w:pPr>
      <w:r w:rsidRPr="005E1C8A">
        <w:rPr>
          <w:rFonts w:ascii="Arial" w:hAnsi="Arial" w:cs="Arial"/>
          <w:b/>
        </w:rPr>
        <w:t>betreffend</w:t>
      </w:r>
    </w:p>
    <w:p w:rsidR="002B30FD" w:rsidRPr="005E1C8A" w:rsidRDefault="002B30FD" w:rsidP="002B30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Sondergipfel zum Thema „Kernkraft in der Großregion“</w:t>
      </w:r>
    </w:p>
    <w:p w:rsidR="002B30FD" w:rsidRPr="004114B3" w:rsidRDefault="002B30FD" w:rsidP="002B30FD">
      <w:pPr>
        <w:rPr>
          <w:rFonts w:ascii="Arial" w:hAnsi="Arial" w:cs="Arial"/>
          <w:sz w:val="22"/>
          <w:szCs w:val="22"/>
        </w:rPr>
      </w:pPr>
    </w:p>
    <w:p w:rsidR="002B30FD" w:rsidRDefault="002B30FD" w:rsidP="002B30FD">
      <w:pPr>
        <w:jc w:val="both"/>
        <w:rPr>
          <w:rFonts w:ascii="Arial" w:hAnsi="Arial" w:cs="Arial"/>
        </w:rPr>
      </w:pPr>
    </w:p>
    <w:p w:rsidR="002B30FD" w:rsidRDefault="002B30FD" w:rsidP="002B3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jüngsten Vorfälle im Kernkraftwerk </w:t>
      </w:r>
      <w:proofErr w:type="spellStart"/>
      <w:r>
        <w:rPr>
          <w:rFonts w:ascii="Arial" w:hAnsi="Arial" w:cs="Arial"/>
        </w:rPr>
        <w:t>Cattenom</w:t>
      </w:r>
      <w:proofErr w:type="spellEnd"/>
      <w:r>
        <w:rPr>
          <w:rFonts w:ascii="Arial" w:hAnsi="Arial" w:cs="Arial"/>
        </w:rPr>
        <w:t xml:space="preserve"> am 18. Januar 2012 erfordern ein unverzügliches Handeln aller politisch Verantwortlichen in der Großregion.</w:t>
      </w:r>
    </w:p>
    <w:p w:rsidR="002B30FD" w:rsidRDefault="002B30FD" w:rsidP="002B30FD">
      <w:pPr>
        <w:jc w:val="both"/>
        <w:rPr>
          <w:rFonts w:ascii="Arial" w:hAnsi="Arial" w:cs="Arial"/>
        </w:rPr>
      </w:pPr>
    </w:p>
    <w:p w:rsidR="002B30FD" w:rsidRDefault="002B30FD" w:rsidP="002B3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der Grundlage der bereits im </w:t>
      </w:r>
      <w:r w:rsidRPr="00117C6F">
        <w:rPr>
          <w:rFonts w:ascii="Arial" w:hAnsi="Arial" w:cs="Arial"/>
          <w:b/>
        </w:rPr>
        <w:t>Interregionalen Parlamentarier-Rat</w:t>
      </w:r>
      <w:r>
        <w:rPr>
          <w:rFonts w:ascii="Arial" w:hAnsi="Arial" w:cs="Arial"/>
        </w:rPr>
        <w:t xml:space="preserve"> beschlossenen Empfehlungen richtet der </w:t>
      </w:r>
      <w:r w:rsidRPr="00117C6F">
        <w:rPr>
          <w:rFonts w:ascii="Arial" w:hAnsi="Arial" w:cs="Arial"/>
          <w:b/>
        </w:rPr>
        <w:t>Interregionale Parlamentarier-Rat</w:t>
      </w:r>
      <w:r>
        <w:rPr>
          <w:rFonts w:ascii="Arial" w:hAnsi="Arial" w:cs="Arial"/>
        </w:rPr>
        <w:t xml:space="preserve"> als Ergebnis der Sitzung der </w:t>
      </w:r>
      <w:r w:rsidRPr="00117C6F">
        <w:rPr>
          <w:rFonts w:ascii="Arial" w:hAnsi="Arial" w:cs="Arial"/>
        </w:rPr>
        <w:t xml:space="preserve">Kommission für Innere Sicherheit, Katastrophenschutz und Rettungsdienste unter Hinzuziehung </w:t>
      </w:r>
      <w:r>
        <w:rPr>
          <w:rFonts w:ascii="Arial" w:hAnsi="Arial" w:cs="Arial"/>
        </w:rPr>
        <w:t>d</w:t>
      </w:r>
      <w:r w:rsidRPr="00117C6F">
        <w:rPr>
          <w:rFonts w:ascii="Arial" w:hAnsi="Arial" w:cs="Arial"/>
        </w:rPr>
        <w:t xml:space="preserve">er Kommission für Umwelt und Landwirtschaft </w:t>
      </w:r>
      <w:r>
        <w:rPr>
          <w:rFonts w:ascii="Arial" w:hAnsi="Arial" w:cs="Arial"/>
        </w:rPr>
        <w:t>am 2. März 2012 in Perl folgende Forderung an die Exekutiven der Großregion:</w:t>
      </w:r>
    </w:p>
    <w:p w:rsidR="002B30FD" w:rsidRDefault="002B30FD" w:rsidP="002B30FD">
      <w:pPr>
        <w:jc w:val="both"/>
        <w:rPr>
          <w:rFonts w:ascii="Arial" w:hAnsi="Arial" w:cs="Arial"/>
        </w:rPr>
      </w:pPr>
    </w:p>
    <w:p w:rsidR="002B30FD" w:rsidRPr="00F7061C" w:rsidRDefault="002B30FD" w:rsidP="002B30FD">
      <w:pPr>
        <w:jc w:val="both"/>
        <w:rPr>
          <w:rFonts w:ascii="Arial" w:hAnsi="Arial" w:cs="Arial"/>
          <w:b/>
        </w:rPr>
      </w:pPr>
      <w:r w:rsidRPr="00F7061C">
        <w:rPr>
          <w:rFonts w:ascii="Arial" w:hAnsi="Arial" w:cs="Arial"/>
          <w:b/>
        </w:rPr>
        <w:t>Die Exekutiven der Großregion werden aufgefordert, unverzüglich einen Sondergipfel ausschließlich zum Thema „Kernkraft in der Großregion“ einzuberufen.</w:t>
      </w:r>
    </w:p>
    <w:p w:rsidR="002B30FD" w:rsidRDefault="002B30FD" w:rsidP="002B30FD">
      <w:pPr>
        <w:jc w:val="both"/>
        <w:rPr>
          <w:rFonts w:ascii="Arial" w:hAnsi="Arial" w:cs="Arial"/>
        </w:rPr>
      </w:pPr>
    </w:p>
    <w:p w:rsidR="002B30FD" w:rsidRDefault="002B30FD" w:rsidP="002B3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117C6F">
        <w:rPr>
          <w:rFonts w:ascii="Arial" w:hAnsi="Arial" w:cs="Arial"/>
          <w:b/>
        </w:rPr>
        <w:t>Interregionale Parlamentarier-Rat</w:t>
      </w:r>
      <w:r>
        <w:rPr>
          <w:rFonts w:ascii="Arial" w:hAnsi="Arial" w:cs="Arial"/>
        </w:rPr>
        <w:t xml:space="preserve"> erwartet weiterhin, dass dieses Thema ebenfalls von den Verantwortlichen in Brüssel, Paris und Berlin diskutiert wird.</w:t>
      </w:r>
    </w:p>
    <w:p w:rsidR="002B30FD" w:rsidRDefault="002B30FD" w:rsidP="002B30FD">
      <w:pPr>
        <w:jc w:val="both"/>
        <w:rPr>
          <w:rFonts w:ascii="Arial" w:hAnsi="Arial" w:cs="Arial"/>
        </w:rPr>
      </w:pPr>
    </w:p>
    <w:p w:rsidR="002B30FD" w:rsidRDefault="002B30FD" w:rsidP="002B30FD">
      <w:pPr>
        <w:jc w:val="both"/>
        <w:rPr>
          <w:rFonts w:ascii="Arial" w:hAnsi="Arial" w:cs="Arial"/>
        </w:rPr>
      </w:pPr>
    </w:p>
    <w:p w:rsidR="002B30FD" w:rsidRPr="00D75ED9" w:rsidRDefault="002B30FD" w:rsidP="002B30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Der </w:t>
      </w:r>
      <w:r w:rsidRPr="00D75ED9">
        <w:rPr>
          <w:rFonts w:ascii="Arial" w:hAnsi="Arial" w:cs="Arial"/>
          <w:b/>
        </w:rPr>
        <w:t xml:space="preserve">Interregionale Parlamentarier-Rat </w:t>
      </w:r>
      <w:r w:rsidRPr="00D75ED9">
        <w:rPr>
          <w:rFonts w:ascii="Arial" w:hAnsi="Arial" w:cs="Arial"/>
        </w:rPr>
        <w:t>richtet diese Resolution an:</w:t>
      </w:r>
    </w:p>
    <w:p w:rsidR="002B30FD" w:rsidRPr="00AD19FF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19FF">
        <w:rPr>
          <w:rFonts w:ascii="Arial" w:hAnsi="Arial" w:cs="Arial"/>
        </w:rPr>
        <w:t>die Regierung des Großherzogtums Luxemburg,</w:t>
      </w:r>
    </w:p>
    <w:p w:rsidR="002B30FD" w:rsidRPr="00AD19FF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19FF">
        <w:rPr>
          <w:rFonts w:ascii="Arial" w:hAnsi="Arial" w:cs="Arial"/>
        </w:rPr>
        <w:t xml:space="preserve">die Regierung der </w:t>
      </w:r>
      <w:proofErr w:type="spellStart"/>
      <w:r>
        <w:rPr>
          <w:rFonts w:ascii="Arial" w:hAnsi="Arial" w:cs="Arial"/>
        </w:rPr>
        <w:t>Fédération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Wallonie</w:t>
      </w:r>
      <w:proofErr w:type="spellEnd"/>
      <w:r>
        <w:rPr>
          <w:rFonts w:ascii="Arial" w:hAnsi="Arial" w:cs="Arial"/>
        </w:rPr>
        <w:t>-Bruxelles</w:t>
      </w:r>
      <w:r w:rsidRPr="00AD19FF">
        <w:rPr>
          <w:rFonts w:ascii="Arial" w:hAnsi="Arial" w:cs="Arial"/>
        </w:rPr>
        <w:t>,</w:t>
      </w:r>
    </w:p>
    <w:p w:rsidR="002B30FD" w:rsidRPr="00AD19FF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19FF">
        <w:rPr>
          <w:rFonts w:ascii="Arial" w:hAnsi="Arial" w:cs="Arial"/>
        </w:rPr>
        <w:t>die Regierung der Deutschsprachigen Gemeinschaft Belgiens,</w:t>
      </w:r>
    </w:p>
    <w:p w:rsidR="002B30FD" w:rsidRPr="00AD19FF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19FF">
        <w:rPr>
          <w:rFonts w:ascii="Arial" w:hAnsi="Arial" w:cs="Arial"/>
        </w:rPr>
        <w:t xml:space="preserve">die Regierung </w:t>
      </w:r>
      <w:r>
        <w:rPr>
          <w:rFonts w:ascii="Arial" w:hAnsi="Arial" w:cs="Arial"/>
        </w:rPr>
        <w:t>von Wallonien,</w:t>
      </w:r>
    </w:p>
    <w:p w:rsidR="002B30FD" w:rsidRPr="00AD19FF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19FF">
        <w:rPr>
          <w:rFonts w:ascii="Arial" w:hAnsi="Arial" w:cs="Arial"/>
        </w:rPr>
        <w:t>die Landesregierung von Rheinland-Pfalz,</w:t>
      </w:r>
    </w:p>
    <w:p w:rsidR="002B30FD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19FF">
        <w:rPr>
          <w:rFonts w:ascii="Arial" w:hAnsi="Arial" w:cs="Arial"/>
        </w:rPr>
        <w:t>die Landesregierung des Saarlandes,</w:t>
      </w:r>
    </w:p>
    <w:p w:rsidR="002B30FD" w:rsidRPr="00AD19FF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den Präfekten der Re</w:t>
      </w:r>
      <w:r w:rsidRPr="00AD19FF">
        <w:rPr>
          <w:rFonts w:ascii="Arial" w:hAnsi="Arial" w:cs="Arial"/>
        </w:rPr>
        <w:t>gion Lorraine,</w:t>
      </w:r>
    </w:p>
    <w:p w:rsidR="002B30FD" w:rsidRPr="00AD19FF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den Conseil r</w:t>
      </w:r>
      <w:r w:rsidRPr="00AD19FF">
        <w:rPr>
          <w:rFonts w:ascii="Arial" w:hAnsi="Arial" w:cs="Arial"/>
          <w:lang w:val="fr-FR"/>
        </w:rPr>
        <w:t>égional de Lorraine</w:t>
      </w:r>
    </w:p>
    <w:p w:rsidR="002B30FD" w:rsidRPr="00D827E3" w:rsidRDefault="002B30FD" w:rsidP="002B30FD">
      <w:pPr>
        <w:jc w:val="both"/>
        <w:rPr>
          <w:rFonts w:ascii="Arial" w:hAnsi="Arial" w:cs="Arial"/>
          <w:lang w:val="fr-FR"/>
        </w:rPr>
      </w:pPr>
    </w:p>
    <w:p w:rsidR="002B30FD" w:rsidRPr="00045308" w:rsidRDefault="002B30FD" w:rsidP="002B30FD">
      <w:pPr>
        <w:jc w:val="both"/>
        <w:rPr>
          <w:rFonts w:ascii="Arial" w:hAnsi="Arial" w:cs="Arial"/>
        </w:rPr>
      </w:pPr>
      <w:r w:rsidRPr="00045308">
        <w:rPr>
          <w:rFonts w:ascii="Arial" w:hAnsi="Arial" w:cs="Arial"/>
        </w:rPr>
        <w:t>und</w:t>
      </w:r>
      <w:r w:rsidRPr="002A1744">
        <w:rPr>
          <w:rFonts w:ascii="Arial" w:hAnsi="Arial" w:cs="Arial"/>
        </w:rPr>
        <w:t xml:space="preserve"> darüber hinaus</w:t>
      </w:r>
      <w:r w:rsidRPr="00045308">
        <w:rPr>
          <w:rFonts w:ascii="Arial" w:hAnsi="Arial" w:cs="Arial"/>
        </w:rPr>
        <w:t xml:space="preserve"> nachrichtlich an</w:t>
      </w:r>
    </w:p>
    <w:p w:rsidR="002B30FD" w:rsidRPr="00AD19FF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19FF">
        <w:rPr>
          <w:rFonts w:ascii="Arial" w:hAnsi="Arial" w:cs="Arial"/>
        </w:rPr>
        <w:t>die Regierung der Bundesrepublik Deutschlands,</w:t>
      </w:r>
    </w:p>
    <w:p w:rsidR="002B30FD" w:rsidRPr="00AD19FF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19FF">
        <w:rPr>
          <w:rFonts w:ascii="Arial" w:hAnsi="Arial" w:cs="Arial"/>
        </w:rPr>
        <w:t>die Regierung der Französischen Republik,</w:t>
      </w:r>
    </w:p>
    <w:p w:rsidR="002B30FD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19FF">
        <w:rPr>
          <w:rFonts w:ascii="Arial" w:hAnsi="Arial" w:cs="Arial"/>
        </w:rPr>
        <w:t>die Regierung des Königreichs Belgien</w:t>
      </w:r>
      <w:r>
        <w:rPr>
          <w:rFonts w:ascii="Arial" w:hAnsi="Arial" w:cs="Arial"/>
        </w:rPr>
        <w:t>,</w:t>
      </w:r>
    </w:p>
    <w:p w:rsidR="002B30FD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Kommission der Europäischen Union,</w:t>
      </w:r>
    </w:p>
    <w:p w:rsidR="002B30FD" w:rsidRDefault="002B30FD" w:rsidP="002B30F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Abgeordneten des Europäischen Parlamentes aus der Großregion</w:t>
      </w:r>
    </w:p>
    <w:p w:rsidR="002B30FD" w:rsidRPr="00BA1C28" w:rsidRDefault="002B30FD" w:rsidP="002B30FD">
      <w:pPr>
        <w:jc w:val="both"/>
        <w:rPr>
          <w:rFonts w:ascii="Arial" w:hAnsi="Arial" w:cs="Arial"/>
        </w:rPr>
      </w:pPr>
    </w:p>
    <w:p w:rsidR="00BE64C7" w:rsidRPr="002B30FD" w:rsidRDefault="002B30FD" w:rsidP="002B30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Metz</w:t>
      </w:r>
      <w:r w:rsidRPr="00BA1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BA1C2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Juni</w:t>
      </w:r>
      <w:r w:rsidRPr="00BA1C2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  <w:bookmarkStart w:id="0" w:name="_GoBack"/>
      <w:bookmarkEnd w:id="0"/>
    </w:p>
    <w:sectPr w:rsidR="00BE64C7" w:rsidRPr="002B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6C2"/>
    <w:multiLevelType w:val="hybridMultilevel"/>
    <w:tmpl w:val="46A6AC9C"/>
    <w:lvl w:ilvl="0" w:tplc="19DEC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D"/>
    <w:rsid w:val="002B30FD"/>
    <w:rsid w:val="00B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0FD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0F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Company>Région Lorraine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Poirot Alicia</dc:creator>
  <cp:lastModifiedBy>Poirot Alicia</cp:lastModifiedBy>
  <cp:revision>1</cp:revision>
  <dcterms:created xsi:type="dcterms:W3CDTF">2012-06-18T15:58:00Z</dcterms:created>
  <dcterms:modified xsi:type="dcterms:W3CDTF">2012-06-18T15:58:00Z</dcterms:modified>
</cp:coreProperties>
</file>